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C411F">
      <w:pPr>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Preface</w:t>
      </w:r>
    </w:p>
    <w:p w14:paraId="230E52E2">
      <w:pPr>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0ED9739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This Philippine edition of </w:t>
      </w:r>
      <w:r>
        <w:rPr>
          <w:rStyle w:val="5"/>
          <w:rFonts w:hint="default" w:ascii="Times New Roman" w:hAnsi="Times New Roman" w:eastAsia="Segoe UI Historic" w:cs="Times New Roman"/>
          <w:i w:val="0"/>
          <w:iCs w:val="0"/>
          <w:caps w:val="0"/>
          <w:color w:val="000000"/>
          <w:spacing w:val="0"/>
          <w:sz w:val="24"/>
          <w:szCs w:val="24"/>
          <w:shd w:val="clear" w:fill="F0F2F5"/>
        </w:rPr>
        <w:t>Nutrition and Diet Therapy Dictionary</w:t>
      </w:r>
      <w:r>
        <w:rPr>
          <w:rFonts w:hint="default" w:ascii="Times New Roman" w:hAnsi="Times New Roman" w:eastAsia="Segoe UI Historic" w:cs="Times New Roman"/>
          <w:i w:val="0"/>
          <w:iCs w:val="0"/>
          <w:caps w:val="0"/>
          <w:color w:val="000000"/>
          <w:spacing w:val="0"/>
          <w:sz w:val="24"/>
          <w:szCs w:val="24"/>
          <w:shd w:val="clear" w:fill="F0F2F5"/>
        </w:rPr>
        <w:t> deals with:</w:t>
      </w:r>
    </w:p>
    <w:p w14:paraId="44E008D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Basic nutrition</w:t>
      </w:r>
      <w:r>
        <w:rPr>
          <w:rFonts w:hint="default" w:ascii="Times New Roman" w:hAnsi="Times New Roman" w:eastAsia="Segoe UI Historic" w:cs="Times New Roman"/>
          <w:i w:val="0"/>
          <w:iCs w:val="0"/>
          <w:caps w:val="0"/>
          <w:color w:val="000000"/>
          <w:spacing w:val="0"/>
          <w:sz w:val="24"/>
          <w:szCs w:val="24"/>
          <w:shd w:val="clear" w:fill="F0F2F5"/>
        </w:rPr>
        <w:t> covering current knowledge of over 40 nutrients, briefly discussing for each: chemical nature and classification, functions, results of deficiency, recommended nutrient intake, and effects of toxicity, if applicable. Prevalence in the Philippines and good food sources locally available are emphasized.</w:t>
      </w:r>
    </w:p>
    <w:p w14:paraId="327E4C25">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AC5AE2B">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Diet therapy</w:t>
      </w:r>
      <w:r>
        <w:rPr>
          <w:rFonts w:hint="default" w:ascii="Times New Roman" w:hAnsi="Times New Roman" w:eastAsia="Segoe UI Historic" w:cs="Times New Roman"/>
          <w:i w:val="0"/>
          <w:iCs w:val="0"/>
          <w:caps w:val="0"/>
          <w:color w:val="000000"/>
          <w:spacing w:val="0"/>
          <w:sz w:val="24"/>
          <w:szCs w:val="24"/>
          <w:shd w:val="clear" w:fill="F0F2F5"/>
        </w:rPr>
        <w:t> discussing recommended nutrition therapy for more than 300 diseases or disorders. Each disorder is described to provide information for nutrition therapy and goals of treatment or relief of symptoms. This aspect of nutrition therapy is not explored in medical dictionaries. The ABCDs of nutritional assessment, namely: anthropometric, biochemical, clinical, and dietary methods are given, using as much as possible methods used in the Philippines. Enteral and parenteral nutrition support is covered using locally available products and data. Test diets, nutrient-drug interactions and selected herbs used as medicine in the Philippines are summarized in the appendices.</w:t>
      </w:r>
    </w:p>
    <w:p w14:paraId="663B8972">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05A9BDF3">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Public health nutrition</w:t>
      </w:r>
      <w:r>
        <w:rPr>
          <w:rFonts w:hint="default" w:ascii="Times New Roman" w:hAnsi="Times New Roman" w:eastAsia="Segoe UI Historic" w:cs="Times New Roman"/>
          <w:i w:val="0"/>
          <w:iCs w:val="0"/>
          <w:caps w:val="0"/>
          <w:color w:val="000000"/>
          <w:spacing w:val="0"/>
          <w:sz w:val="24"/>
          <w:szCs w:val="24"/>
          <w:shd w:val="clear" w:fill="F0F2F5"/>
        </w:rPr>
        <w:t> problems as observed in the Philippines are essential word entries because of their impact on the health of Filipinos. Of particular importance are dietary recommendations for prevention of major degenerative diseases such as obesity, coronary heart disease, hypertension, diabetes mellitus, and cancer. These concerns are given emphasis in the main text as well as in the appendices by including local agencies and organizations, nutrition programs and surveys, and legislations in health and nutrition in the Philippines.</w:t>
      </w:r>
    </w:p>
    <w:p w14:paraId="3F46FEDD">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75E12B8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Professionals and students of nutrition and diet therapy and allied health sciences will find this dictionary useful. The only kind currently available for use in the Philippines, the 500-paged volume is handy and compact, providing fingertip access to information on nutrition and diet therapy focused on practical applications for the Philippines.</w:t>
      </w:r>
    </w:p>
    <w:p w14:paraId="70E2C044">
      <w:pPr>
        <w:pStyle w:val="6"/>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Rosalinda T. Lagua</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Virginia S. Claudio</w:t>
      </w:r>
    </w:p>
    <w:p w14:paraId="0D48C254">
      <w:pPr>
        <w:pStyle w:val="6"/>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7FDA20E1">
      <w:pPr>
        <w:pStyle w:val="6"/>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27835EC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Guide to the Use of the Dictionary</w:t>
      </w:r>
    </w:p>
    <w:p w14:paraId="3D89034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0DA4E8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Word entry.</w:t>
      </w:r>
      <w:r>
        <w:rPr>
          <w:rFonts w:hint="default" w:ascii="Times New Roman" w:hAnsi="Times New Roman" w:eastAsia="Segoe UI Historic" w:cs="Times New Roman"/>
          <w:i w:val="0"/>
          <w:iCs w:val="0"/>
          <w:caps w:val="0"/>
          <w:color w:val="000000"/>
          <w:spacing w:val="0"/>
          <w:sz w:val="24"/>
          <w:szCs w:val="24"/>
          <w:shd w:val="clear" w:fill="F0F2F5"/>
        </w:rPr>
        <w:t> The word or term to be defined is set in boldface. All entries, including abbreviations and compounds of two or more words, have been entered in strict alphabetical order, regardless of any space or hyphen that may occur between them. If two or more variant spellings of a single word exist, the one most frequently used is entered in boldface and the variants are given in the definitions. When usage is about evenly divided, both spellings are entered in boldface.</w:t>
      </w:r>
    </w:p>
    <w:p w14:paraId="56415F9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Subentries.</w:t>
      </w:r>
      <w:r>
        <w:rPr>
          <w:rFonts w:hint="default" w:ascii="Times New Roman" w:hAnsi="Times New Roman" w:eastAsia="Segoe UI Historic" w:cs="Times New Roman"/>
          <w:i w:val="0"/>
          <w:iCs w:val="0"/>
          <w:caps w:val="0"/>
          <w:color w:val="000000"/>
          <w:spacing w:val="0"/>
          <w:sz w:val="24"/>
          <w:szCs w:val="24"/>
          <w:shd w:val="clear" w:fill="F0F2F5"/>
        </w:rPr>
        <w:t> Groups or classes of definitions related by a common root term appear under that term: anemia, amino acid, diet, fatty acid, etc. The series is slightly indented, and each subentry is set in the same boldface type as the main word entry.</w:t>
      </w:r>
    </w:p>
    <w:p w14:paraId="6520626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Definitions.</w:t>
      </w:r>
      <w:r>
        <w:rPr>
          <w:rFonts w:hint="default" w:ascii="Times New Roman" w:hAnsi="Times New Roman" w:eastAsia="Segoe UI Historic" w:cs="Times New Roman"/>
          <w:i w:val="0"/>
          <w:iCs w:val="0"/>
          <w:caps w:val="0"/>
          <w:color w:val="000000"/>
          <w:spacing w:val="0"/>
          <w:sz w:val="24"/>
          <w:szCs w:val="24"/>
          <w:shd w:val="clear" w:fill="F0F2F5"/>
        </w:rPr>
        <w:t> Innumerable definitions have been scrutinized, redefined, or expanded to conform to changing concepts of present-day knowledge. The definitions of a term are numbered when there is more than one distinct meaning or use. The most inclusive definition is presented first, followed by the more restricted meanings. Definitions restricted to specialized fields are preceded by field labels such as “In nutrition”, “In medicine”, and so on. Advertently omitted are definitions in certain specialized fields that do not have any application in the field of nutrition. A semicolon after a definition generally means that the material that follows is not part of the definition proper but is additional information enlarging on the factual content.</w:t>
      </w:r>
    </w:p>
    <w:p w14:paraId="23ADA10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8E7845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Abbreviations.</w:t>
      </w:r>
      <w:r>
        <w:rPr>
          <w:rFonts w:hint="default" w:ascii="Times New Roman" w:hAnsi="Times New Roman" w:eastAsia="Segoe UI Historic" w:cs="Times New Roman"/>
          <w:i w:val="0"/>
          <w:iCs w:val="0"/>
          <w:caps w:val="0"/>
          <w:color w:val="000000"/>
          <w:spacing w:val="0"/>
          <w:sz w:val="24"/>
          <w:szCs w:val="24"/>
          <w:shd w:val="clear" w:fill="F0F2F5"/>
        </w:rPr>
        <w:t> Abbreviations with nutritional significance appear in their proper alphabetical sequence in the dictionary. They are defined in full in word entries for which such abbreviations stand.</w:t>
      </w:r>
    </w:p>
    <w:p w14:paraId="3A01808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03E159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Cross-references.</w:t>
      </w:r>
      <w:r>
        <w:rPr>
          <w:rFonts w:hint="default" w:ascii="Times New Roman" w:hAnsi="Times New Roman" w:eastAsia="Segoe UI Historic" w:cs="Times New Roman"/>
          <w:i w:val="0"/>
          <w:iCs w:val="0"/>
          <w:caps w:val="0"/>
          <w:color w:val="000000"/>
          <w:spacing w:val="0"/>
          <w:sz w:val="24"/>
          <w:szCs w:val="24"/>
          <w:shd w:val="clear" w:fill="F0F2F5"/>
        </w:rPr>
        <w:t> The use is directed to additional or fuller information by such cross-reference terms as </w:t>
      </w:r>
      <w:r>
        <w:rPr>
          <w:rStyle w:val="5"/>
          <w:rFonts w:hint="default" w:ascii="Times New Roman" w:hAnsi="Times New Roman" w:eastAsia="Segoe UI Historic" w:cs="Times New Roman"/>
          <w:i w:val="0"/>
          <w:iCs w:val="0"/>
          <w:caps w:val="0"/>
          <w:color w:val="000000"/>
          <w:spacing w:val="0"/>
          <w:sz w:val="24"/>
          <w:szCs w:val="24"/>
          <w:shd w:val="clear" w:fill="F0F2F5"/>
        </w:rPr>
        <w:t>see</w:t>
      </w:r>
      <w:r>
        <w:rPr>
          <w:rFonts w:hint="default" w:ascii="Times New Roman" w:hAnsi="Times New Roman" w:eastAsia="Segoe UI Historic" w:cs="Times New Roman"/>
          <w:i w:val="0"/>
          <w:iCs w:val="0"/>
          <w:caps w:val="0"/>
          <w:color w:val="000000"/>
          <w:spacing w:val="0"/>
          <w:sz w:val="24"/>
          <w:szCs w:val="24"/>
          <w:shd w:val="clear" w:fill="F0F2F5"/>
        </w:rPr>
        <w:t> or </w:t>
      </w:r>
      <w:r>
        <w:rPr>
          <w:rStyle w:val="5"/>
          <w:rFonts w:hint="default" w:ascii="Times New Roman" w:hAnsi="Times New Roman" w:eastAsia="Segoe UI Historic" w:cs="Times New Roman"/>
          <w:i w:val="0"/>
          <w:iCs w:val="0"/>
          <w:caps w:val="0"/>
          <w:color w:val="000000"/>
          <w:spacing w:val="0"/>
          <w:sz w:val="24"/>
          <w:szCs w:val="24"/>
          <w:shd w:val="clear" w:fill="F0F2F5"/>
        </w:rPr>
        <w:t>see under</w:t>
      </w:r>
      <w:r>
        <w:rPr>
          <w:rFonts w:hint="default" w:ascii="Times New Roman" w:hAnsi="Times New Roman" w:eastAsia="Segoe UI Historic" w:cs="Times New Roman"/>
          <w:i w:val="0"/>
          <w:iCs w:val="0"/>
          <w:caps w:val="0"/>
          <w:color w:val="000000"/>
          <w:spacing w:val="0"/>
          <w:sz w:val="24"/>
          <w:szCs w:val="24"/>
          <w:shd w:val="clear" w:fill="F0F2F5"/>
        </w:rPr>
        <w:t>. Cross-references to related information are identified by the words </w:t>
      </w:r>
      <w:r>
        <w:rPr>
          <w:rStyle w:val="5"/>
          <w:rFonts w:hint="default" w:ascii="Times New Roman" w:hAnsi="Times New Roman" w:eastAsia="Segoe UI Historic" w:cs="Times New Roman"/>
          <w:i w:val="0"/>
          <w:iCs w:val="0"/>
          <w:caps w:val="0"/>
          <w:color w:val="000000"/>
          <w:spacing w:val="0"/>
          <w:sz w:val="24"/>
          <w:szCs w:val="24"/>
          <w:shd w:val="clear" w:fill="F0F2F5"/>
        </w:rPr>
        <w:t>see also</w:t>
      </w:r>
      <w:r>
        <w:rPr>
          <w:rFonts w:hint="default" w:ascii="Times New Roman" w:hAnsi="Times New Roman" w:eastAsia="Segoe UI Historic" w:cs="Times New Roman"/>
          <w:i w:val="0"/>
          <w:iCs w:val="0"/>
          <w:caps w:val="0"/>
          <w:color w:val="000000"/>
          <w:spacing w:val="0"/>
          <w:sz w:val="24"/>
          <w:szCs w:val="24"/>
          <w:shd w:val="clear" w:fill="F0F2F5"/>
        </w:rPr>
        <w:t>. When a cross-reference appears under a group entry, the user is instructed to look for the subentry under the word entry for the definition of the specific term. Cross-references to see the appendices for additional information are clearly stated.</w:t>
      </w:r>
    </w:p>
    <w:p w14:paraId="2DEDA18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C00D69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Nutrient requirements.</w:t>
      </w:r>
      <w:r>
        <w:rPr>
          <w:rFonts w:hint="default" w:ascii="Times New Roman" w:hAnsi="Times New Roman" w:eastAsia="Segoe UI Historic" w:cs="Times New Roman"/>
          <w:i w:val="0"/>
          <w:iCs w:val="0"/>
          <w:caps w:val="0"/>
          <w:color w:val="000000"/>
          <w:spacing w:val="0"/>
          <w:sz w:val="24"/>
          <w:szCs w:val="24"/>
          <w:shd w:val="clear" w:fill="F0F2F5"/>
        </w:rPr>
        <w:t> Unless specified otherwise, nutrient requirements stated are for adults.</w:t>
      </w:r>
    </w:p>
    <w:p w14:paraId="501C3A4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85B631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Nutrition therapy.</w:t>
      </w:r>
      <w:r>
        <w:rPr>
          <w:rFonts w:hint="default" w:ascii="Times New Roman" w:hAnsi="Times New Roman" w:eastAsia="Segoe UI Historic" w:cs="Times New Roman"/>
          <w:i w:val="0"/>
          <w:iCs w:val="0"/>
          <w:caps w:val="0"/>
          <w:color w:val="000000"/>
          <w:spacing w:val="0"/>
          <w:sz w:val="24"/>
          <w:szCs w:val="24"/>
          <w:shd w:val="clear" w:fill="F0F2F5"/>
        </w:rPr>
        <w:t> These are the only two words underscored to highlight its role in the treatment or relief of signs and symptoms for a specific disease or ailment. The recommended nutritional guidelines are for adults, unless specified otherwise.</w:t>
      </w:r>
    </w:p>
    <w:p w14:paraId="3E95DDF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58A19F1">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5" o:spt="1" style="height:1.5pt;width:328.3pt;" fillcolor="#DADDE1" filled="t" stroked="f" coordsize="21600,21600" o:hr="t" o:hrstd="t" o:hrnoshade="t" o:hrpct="0" o:hralign="center">
            <v:path/>
            <v:fill on="t" focussize="0,0"/>
            <v:stroke on="f"/>
            <v:imagedata o:title=""/>
            <o:lock v:ext="edit"/>
            <w10:wrap type="none"/>
            <w10:anchorlock/>
          </v:rect>
        </w:pict>
      </w:r>
    </w:p>
    <w:p w14:paraId="74A4E37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About the Authors</w:t>
      </w:r>
    </w:p>
    <w:p w14:paraId="2293E67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200EF5D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ROSALINDA T. LAGUA, M.P.S., M.N.S., R.D.,</w:t>
      </w:r>
      <w:r>
        <w:rPr>
          <w:rFonts w:hint="default" w:ascii="Times New Roman" w:hAnsi="Times New Roman" w:eastAsia="Segoe UI Historic" w:cs="Times New Roman"/>
          <w:i w:val="0"/>
          <w:iCs w:val="0"/>
          <w:caps w:val="0"/>
          <w:color w:val="000000"/>
          <w:spacing w:val="0"/>
          <w:sz w:val="24"/>
          <w:szCs w:val="24"/>
          <w:shd w:val="clear" w:fill="F0F2F5"/>
        </w:rPr>
        <w:t> served as Senior Nutrition Services consultant for the Office of Health Systems Management of the New York State Department of Health for over twenty years. Other positions she held were as Director of Nutritional Services at University Hospital, Upstate Medical Center, Syracuse, NY, and Chief Therapeutic Dietitian at Highland View Hospital, Cleveland, OH. Mrs. Lagua has many years experience as practitioner, teacher, and specialist in clinical nutrition and dietetic services.</w:t>
      </w:r>
    </w:p>
    <w:p w14:paraId="220CCEE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72290D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VIRGINIA S. CLAUDIO, Ph.D., M.N.S., R.D.,</w:t>
      </w:r>
      <w:r>
        <w:rPr>
          <w:rFonts w:hint="default" w:ascii="Times New Roman" w:hAnsi="Times New Roman" w:eastAsia="Segoe UI Historic" w:cs="Times New Roman"/>
          <w:i w:val="0"/>
          <w:iCs w:val="0"/>
          <w:caps w:val="0"/>
          <w:color w:val="000000"/>
          <w:spacing w:val="0"/>
          <w:sz w:val="24"/>
          <w:szCs w:val="24"/>
          <w:shd w:val="clear" w:fill="F0F2F5"/>
        </w:rPr>
        <w:t> is currently on private practice as RD consultant for home health agencies, nursing homes, and intermediary care facilities for mentally retarded clients. Past work experiences include twenty years as a clinical and administrative dietitian, and twenty years of teaching and research at college and postgraduate levels. Mrs. Claudio has written 10 books the past three decades for college use in the areas of foods, nutrition, and diet therapy. As originator, co-authors with proper academic training and experiences were invited to write specific chapters. The latest book published by Charles C. Thomas, Ltd. of Illinois, entitled: “Global Handbook in Food and Water Safety” is forthcoming in October 2003.</w:t>
      </w:r>
    </w:p>
    <w:p w14:paraId="627A9B8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FC7E2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Acknowledgement</w:t>
      </w:r>
    </w:p>
    <w:p w14:paraId="079DB24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2BB18EA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Special thanks to </w:t>
      </w:r>
      <w:r>
        <w:rPr>
          <w:rStyle w:val="7"/>
          <w:rFonts w:hint="default" w:ascii="Times New Roman" w:hAnsi="Times New Roman" w:eastAsia="Segoe UI Historic" w:cs="Times New Roman"/>
          <w:b/>
          <w:bCs/>
          <w:i w:val="0"/>
          <w:iCs w:val="0"/>
          <w:caps w:val="0"/>
          <w:color w:val="000000"/>
          <w:spacing w:val="0"/>
          <w:sz w:val="24"/>
          <w:szCs w:val="24"/>
          <w:shd w:val="clear" w:fill="F0F2F5"/>
        </w:rPr>
        <w:t>Adela Jamorabo Ruiz, MSN, BSFN, RND</w:t>
      </w:r>
      <w:r>
        <w:rPr>
          <w:rFonts w:hint="default" w:ascii="Times New Roman" w:hAnsi="Times New Roman" w:eastAsia="Segoe UI Historic" w:cs="Times New Roman"/>
          <w:i w:val="0"/>
          <w:iCs w:val="0"/>
          <w:caps w:val="0"/>
          <w:color w:val="000000"/>
          <w:spacing w:val="0"/>
          <w:sz w:val="24"/>
          <w:szCs w:val="24"/>
          <w:shd w:val="clear" w:fill="F0F2F5"/>
        </w:rPr>
        <w:t>, for her significant contributions for researching and providing information without which this dictionary will not be truly a Philippine edition.</w:t>
      </w:r>
    </w:p>
    <w:p w14:paraId="6DA4345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authors extend their sincerest gratitude to the </w:t>
      </w:r>
      <w:r>
        <w:rPr>
          <w:rStyle w:val="7"/>
          <w:rFonts w:hint="default" w:ascii="Times New Roman" w:hAnsi="Times New Roman" w:eastAsia="Segoe UI Historic" w:cs="Times New Roman"/>
          <w:b/>
          <w:bCs/>
          <w:i w:val="0"/>
          <w:iCs w:val="0"/>
          <w:caps w:val="0"/>
          <w:color w:val="000000"/>
          <w:spacing w:val="0"/>
          <w:sz w:val="24"/>
          <w:szCs w:val="24"/>
          <w:shd w:val="clear" w:fill="F0F2F5"/>
        </w:rPr>
        <w:t>Food and Nutrition Research Institute-Department of Sciences and Technology (FNRI-DOST)</w:t>
      </w:r>
      <w:r>
        <w:rPr>
          <w:rFonts w:hint="default" w:ascii="Times New Roman" w:hAnsi="Times New Roman" w:eastAsia="Segoe UI Historic" w:cs="Times New Roman"/>
          <w:i w:val="0"/>
          <w:iCs w:val="0"/>
          <w:caps w:val="0"/>
          <w:color w:val="000000"/>
          <w:spacing w:val="0"/>
          <w:sz w:val="24"/>
          <w:szCs w:val="24"/>
          <w:shd w:val="clear" w:fill="F0F2F5"/>
        </w:rPr>
        <w:t>, and to the </w:t>
      </w:r>
      <w:r>
        <w:rPr>
          <w:rStyle w:val="7"/>
          <w:rFonts w:hint="default" w:ascii="Times New Roman" w:hAnsi="Times New Roman" w:eastAsia="Segoe UI Historic" w:cs="Times New Roman"/>
          <w:b/>
          <w:bCs/>
          <w:i w:val="0"/>
          <w:iCs w:val="0"/>
          <w:caps w:val="0"/>
          <w:color w:val="000000"/>
          <w:spacing w:val="0"/>
          <w:sz w:val="24"/>
          <w:szCs w:val="24"/>
          <w:shd w:val="clear" w:fill="F0F2F5"/>
        </w:rPr>
        <w:t>Nutrition Foundation of the Philippines (NFP)</w:t>
      </w:r>
      <w:r>
        <w:rPr>
          <w:rFonts w:hint="default" w:ascii="Times New Roman" w:hAnsi="Times New Roman" w:eastAsia="Segoe UI Historic" w:cs="Times New Roman"/>
          <w:i w:val="0"/>
          <w:iCs w:val="0"/>
          <w:caps w:val="0"/>
          <w:color w:val="000000"/>
          <w:spacing w:val="0"/>
          <w:sz w:val="24"/>
          <w:szCs w:val="24"/>
          <w:shd w:val="clear" w:fill="F0F2F5"/>
        </w:rPr>
        <w:t> for the use of their materials.</w:t>
      </w:r>
    </w:p>
    <w:p w14:paraId="708D04B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Technical support by the following individuals are much appreciated:</w:t>
      </w:r>
    </w:p>
    <w:p w14:paraId="6F4EDA34">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Lourdes S. Joves</w:t>
      </w:r>
      <w:r>
        <w:rPr>
          <w:rFonts w:hint="default" w:ascii="Times New Roman" w:hAnsi="Times New Roman" w:eastAsia="Segoe UI Historic" w:cs="Times New Roman"/>
          <w:i w:val="0"/>
          <w:iCs w:val="0"/>
          <w:caps w:val="0"/>
          <w:color w:val="000000"/>
          <w:spacing w:val="0"/>
          <w:sz w:val="24"/>
          <w:szCs w:val="24"/>
          <w:shd w:val="clear" w:fill="F0F2F5"/>
        </w:rPr>
        <w:t> for her communications with contributor and publisher</w:t>
      </w:r>
    </w:p>
    <w:p w14:paraId="61FC4639">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Amelita C. Mariano</w:t>
      </w:r>
      <w:r>
        <w:rPr>
          <w:rFonts w:hint="default" w:ascii="Times New Roman" w:hAnsi="Times New Roman" w:eastAsia="Segoe UI Historic" w:cs="Times New Roman"/>
          <w:i w:val="0"/>
          <w:iCs w:val="0"/>
          <w:caps w:val="0"/>
          <w:color w:val="000000"/>
          <w:spacing w:val="0"/>
          <w:sz w:val="24"/>
          <w:szCs w:val="24"/>
          <w:shd w:val="clear" w:fill="F0F2F5"/>
        </w:rPr>
        <w:t> for helping with research activities with FNRI</w:t>
      </w:r>
    </w:p>
    <w:p w14:paraId="7FB34497">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shd w:val="clear" w:fill="F0F2F5"/>
        </w:rPr>
      </w:pPr>
    </w:p>
    <w:p w14:paraId="44C2D49C">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w:t>
      </w:r>
      <w:r>
        <w:rPr>
          <w:rFonts w:hint="default" w:ascii="Times New Roman" w:hAnsi="Times New Roman" w:eastAsia="Segoe UI Historic" w:cs="Times New Roman"/>
          <w:i w:val="0"/>
          <w:iCs w:val="0"/>
          <w:caps w:val="0"/>
          <w:color w:val="000000"/>
          <w:spacing w:val="0"/>
          <w:sz w:val="24"/>
          <w:szCs w:val="24"/>
          <w:shd w:val="clear" w:fill="F0F2F5"/>
        </w:rPr>
        <w:t> Abbreviation for accommodation</w:t>
      </w:r>
    </w:p>
    <w:p w14:paraId="3460599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AA.</w:t>
      </w:r>
      <w:r>
        <w:rPr>
          <w:rFonts w:hint="default" w:ascii="Times New Roman" w:hAnsi="Times New Roman" w:eastAsia="Segoe UI Historic" w:cs="Times New Roman"/>
          <w:i w:val="0"/>
          <w:iCs w:val="0"/>
          <w:caps w:val="0"/>
          <w:color w:val="000000"/>
          <w:spacing w:val="0"/>
          <w:sz w:val="24"/>
          <w:szCs w:val="24"/>
          <w:shd w:val="clear" w:fill="F0F2F5"/>
        </w:rPr>
        <w:t> Abbreviation for 1. Adenylic acid. 2. Amino acid. 3. Alcoholics Anonymous.</w:t>
      </w:r>
    </w:p>
    <w:p w14:paraId="4825E54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AAA.</w:t>
      </w:r>
      <w:r>
        <w:rPr>
          <w:rFonts w:hint="default" w:ascii="Times New Roman" w:hAnsi="Times New Roman" w:eastAsia="Segoe UI Historic" w:cs="Times New Roman"/>
          <w:i w:val="0"/>
          <w:iCs w:val="0"/>
          <w:caps w:val="0"/>
          <w:color w:val="000000"/>
          <w:spacing w:val="0"/>
          <w:sz w:val="24"/>
          <w:szCs w:val="24"/>
          <w:shd w:val="clear" w:fill="F0F2F5"/>
        </w:rPr>
        <w:t> Abbreviation for aromatic amino acid.</w:t>
      </w:r>
    </w:p>
    <w:p w14:paraId="452A486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ABC.</w:t>
      </w:r>
      <w:r>
        <w:rPr>
          <w:rFonts w:hint="default" w:ascii="Times New Roman" w:hAnsi="Times New Roman" w:eastAsia="Segoe UI Historic" w:cs="Times New Roman"/>
          <w:i w:val="0"/>
          <w:iCs w:val="0"/>
          <w:caps w:val="0"/>
          <w:color w:val="000000"/>
          <w:spacing w:val="0"/>
          <w:sz w:val="24"/>
          <w:szCs w:val="24"/>
          <w:shd w:val="clear" w:fill="F0F2F5"/>
        </w:rPr>
        <w:t> Abbreviation for a behavioral model as used in weight control programs. Stands for Antecedents or the events preceding the behavior, Behavior or the external activities, and Consequences that either positively or negatively reinforce the behavior</w:t>
      </w:r>
    </w:p>
    <w:p w14:paraId="666E489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ABCDE.</w:t>
      </w:r>
      <w:r>
        <w:rPr>
          <w:rFonts w:hint="default" w:ascii="Times New Roman" w:hAnsi="Times New Roman" w:eastAsia="Segoe UI Historic" w:cs="Times New Roman"/>
          <w:i w:val="0"/>
          <w:iCs w:val="0"/>
          <w:caps w:val="0"/>
          <w:color w:val="000000"/>
          <w:spacing w:val="0"/>
          <w:sz w:val="24"/>
          <w:szCs w:val="24"/>
          <w:shd w:val="clear" w:fill="F0F2F5"/>
        </w:rPr>
        <w:t> Abbreviation for the five methods used for nutritional assessment: Anthropometric, Biochemical, Clinical, Dietary, and Economic data. </w:t>
      </w:r>
      <w:r>
        <w:rPr>
          <w:rStyle w:val="5"/>
          <w:rFonts w:hint="default" w:ascii="Times New Roman" w:hAnsi="Times New Roman" w:eastAsia="Segoe UI Historic" w:cs="Times New Roman"/>
          <w:i w:val="0"/>
          <w:iCs w:val="0"/>
          <w:caps w:val="0"/>
          <w:color w:val="000000"/>
          <w:spacing w:val="0"/>
          <w:sz w:val="24"/>
          <w:szCs w:val="24"/>
          <w:shd w:val="clear" w:fill="F0F2F5"/>
        </w:rPr>
        <w:t>See Nutritional assessment.</w:t>
      </w:r>
    </w:p>
    <w:p w14:paraId="1D3695D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Abdominal circumference.</w:t>
      </w:r>
      <w:r>
        <w:rPr>
          <w:rFonts w:hint="default" w:ascii="Times New Roman" w:hAnsi="Times New Roman" w:eastAsia="Segoe UI Historic" w:cs="Times New Roman"/>
          <w:i w:val="0"/>
          <w:iCs w:val="0"/>
          <w:caps w:val="0"/>
          <w:color w:val="000000"/>
          <w:spacing w:val="0"/>
          <w:sz w:val="24"/>
          <w:szCs w:val="24"/>
          <w:shd w:val="clear" w:fill="F0F2F5"/>
        </w:rPr>
        <w:t> Commonly known as girth. An anthropometric measurement in inches or centimeters around the abdomen, taken at the site of the umbilicus. Used to monitor accumulation of fluid in the abdominal cavity as in ascites; growth of a fetus, or growth of an abnormal tissue within the abdomen.</w:t>
      </w:r>
    </w:p>
    <w:p w14:paraId="56682C0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Abetalipoproteinemia.</w:t>
      </w:r>
      <w:r>
        <w:rPr>
          <w:rFonts w:hint="default" w:ascii="Times New Roman" w:hAnsi="Times New Roman" w:eastAsia="Segoe UI Historic" w:cs="Times New Roman"/>
          <w:i w:val="0"/>
          <w:iCs w:val="0"/>
          <w:caps w:val="0"/>
          <w:color w:val="000000"/>
          <w:spacing w:val="0"/>
          <w:sz w:val="24"/>
          <w:szCs w:val="24"/>
          <w:shd w:val="clear" w:fill="F0F2F5"/>
        </w:rPr>
        <w:t> A rare congenital disorder due to lack of apoprotein B, which is needed to secrete chylomicrons or to export hepatic triglycerides. As a result, fat is not transported from the intestinal cells into the lacteals. There is fat malabsorption and steatorrhea, with progressive neuropathy and retinopathy in the first two decades of life. The blood lacks the chylomicrons and has very low levels of low-density and very low-density lipoproteins, cholesterol, triglycerides, and free fatty acids, especially linoleic and arachidonic acids.</w:t>
      </w:r>
    </w:p>
    <w:p w14:paraId="49BB655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Nutrition therapy:</w:t>
      </w:r>
      <w:r>
        <w:rPr>
          <w:rFonts w:hint="default" w:ascii="Times New Roman" w:hAnsi="Times New Roman" w:eastAsia="Segoe UI Historic" w:cs="Times New Roman"/>
          <w:i w:val="0"/>
          <w:iCs w:val="0"/>
          <w:caps w:val="0"/>
          <w:color w:val="000000"/>
          <w:spacing w:val="0"/>
          <w:sz w:val="24"/>
          <w:szCs w:val="24"/>
          <w:shd w:val="clear" w:fill="F0F2F5"/>
        </w:rPr>
        <w:t> a low-fat diet is recommended; substitution of medium-chain triglycerides for long-chain fats in the diet may improve fat absorption, because the shorter-chain fats are absorbed by way of the portal vein rather than by the lymph. For infant feeding, use a formula high in medium-chain triglycerides such as Portagen®. Supplements of the fat-soluble vitamins A and K are necessary, and pharmacologic doses of vitamin E (200 to 300 mg/kg daily) may improve the retinal and neuromuscular abnormalities.</w:t>
      </w:r>
    </w:p>
    <w:p w14:paraId="206D224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Absorption, nutrients.</w:t>
      </w:r>
      <w:r>
        <w:rPr>
          <w:rFonts w:hint="default" w:ascii="Times New Roman" w:hAnsi="Times New Roman" w:eastAsia="Segoe UI Historic" w:cs="Times New Roman"/>
          <w:i w:val="0"/>
          <w:iCs w:val="0"/>
          <w:caps w:val="0"/>
          <w:color w:val="000000"/>
          <w:spacing w:val="0"/>
          <w:sz w:val="24"/>
          <w:szCs w:val="24"/>
          <w:shd w:val="clear" w:fill="F0F2F5"/>
        </w:rPr>
        <w:t> After food is digested, the end products (see Appendix 10) are absorbed mainly in the intestines through the villi. Each villus is connected to the circulatory and lymphatic systems. Almost all of the water-soluble nutrients are absorbed by diffusion or osmosis (passive absorption). Glucose, galactose, and amino acids are absorbed with the help of energy supplied by the enzyme K⁺/ATPase and a cofactor, sodium ion. The process is carried out against a concentration gradient; it therefore needs ATP energy (active absorption). Fructose absorption, however, uses a carrier without expending energy. Fructose pulls water with it on entering the intestines. This type of absorption is called facilitative. The fourth absorption process is pinocytosis or phagocytosis, in which the absorptive cell engulfs the material. This process is used for fat absorption. Water-soluble nutrients pass directly into the circulatory system, whereas fat-soluble materials pass through the lymphatic system first before they are transported by the blood. Amino acids and peptides are actively absorbed by the absorptive cells of the villi; peptides are broken down into individual amino acids that then go, via the portal vein, to the liver, where they are metabolized. Water-soluble fatty acids (fewer than 12 carbons) and glycerol pass through the portal vein to the liver. Bile aids in the emulsification of fats to facilitate absorption. Fatty acids of longer carbon chain (more than 14 carbons) form triglycerides in the absorptive cells and combine with cholesterol, phospholipids, and similar substances with a protein coat (the compound</w:t>
      </w:r>
    </w:p>
    <w:p w14:paraId="1426C45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bookmarkStart w:id="0" w:name="_GoBack"/>
      <w:bookmarkEnd w:id="0"/>
      <w:r>
        <w:rPr>
          <w:rStyle w:val="7"/>
          <w:rFonts w:hint="default" w:ascii="Times New Roman" w:hAnsi="Times New Roman" w:eastAsia="Segoe UI Historic" w:cs="Times New Roman"/>
          <w:b/>
          <w:bCs/>
          <w:i w:val="0"/>
          <w:iCs w:val="0"/>
          <w:caps w:val="0"/>
          <w:color w:val="000000"/>
          <w:spacing w:val="0"/>
          <w:sz w:val="24"/>
          <w:szCs w:val="24"/>
          <w:shd w:val="clear" w:fill="F0F2F5"/>
        </w:rPr>
        <w:t>Ileum</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potassium; calcium; magnesium; phosphorus; iodine, iron; fat-soluble vitamins D, E, and K; most of the vitamin B complex; vitamin C; and the rest of the alcohol not absorbed by the stomach</w:t>
      </w:r>
    </w:p>
    <w:p w14:paraId="3E59E75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Colon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Disaccharides; sodium; chloride; potassium; calcium; magnesium; phosphorous; iodine; vitamins D, E, K, B₁, B₂, B₆, B₁₂, and ascorbic acid, and most of the water</w:t>
      </w:r>
    </w:p>
    <w:p w14:paraId="338DC0C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Sodium, potassium, water, acids and gases, some short-chain fatty acids metabolized from plant fibers and undigested starch, and vitamins synthesized by bacteria (biotin and vitamin K)</w:t>
      </w:r>
    </w:p>
    <w:p w14:paraId="7E4B732B">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6" o:spt="1" style="height:1.5pt;width:328.3pt;" fillcolor="#DADDE1" filled="t" stroked="f" coordsize="21600,21600" o:hr="t" o:hrstd="t" o:hrnoshade="t" o:hrpct="0" o:hralign="center">
            <v:path/>
            <v:fill on="t" focussize="0,0"/>
            <v:stroke on="f"/>
            <v:imagedata o:title=""/>
            <o:lock v:ext="edit"/>
            <w10:wrap type="none"/>
            <w10:anchorlock/>
          </v:rect>
        </w:pict>
      </w:r>
    </w:p>
    <w:p w14:paraId="020155F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Understanding the absorption process gives background knowledge and rationale for nutritional therapy for disorders associated with malabsorption syndrome.</w:t>
      </w:r>
    </w:p>
    <w:p w14:paraId="4D32C41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Acarbose.</w:t>
      </w:r>
      <w:r>
        <w:rPr>
          <w:rFonts w:hint="default" w:ascii="Times New Roman" w:hAnsi="Times New Roman" w:eastAsia="Segoe UI Historic" w:cs="Times New Roman"/>
          <w:i w:val="0"/>
          <w:iCs w:val="0"/>
          <w:caps w:val="0"/>
          <w:color w:val="000000"/>
          <w:spacing w:val="0"/>
          <w:sz w:val="24"/>
          <w:szCs w:val="24"/>
          <w:shd w:val="clear" w:fill="F0F2F5"/>
        </w:rPr>
        <w:t> An oral alpha-glucosidase inhibitor. It is a complex oligosaccharide that delays the digestion of ingested carbohydrate, thereby resulting in a smaller rise in blood glucose concentration following meals. As a consequence of plasma glucose reduction, glycosylated hemoglobin levels are decreased in patients with Type 2 diabetes mellitus. Acarbose does not cause low blood sugar reactions (hypoglycemia) and it is especially effective right after meals. It is contraindicated for persons with renal dysfunction, diabetic ketoacidosis, and cases of intestinal diseases with impaired digestion and absorption. Brand names are Glucobay® and Gluconase</w:t>
      </w:r>
    </w:p>
    <w:p w14:paraId="5D1A609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Acceptable daily intake (ADI).</w:t>
      </w:r>
      <w:r>
        <w:rPr>
          <w:rFonts w:hint="default" w:ascii="Times New Roman" w:hAnsi="Times New Roman" w:eastAsia="Segoe UI Historic" w:cs="Times New Roman"/>
          <w:i w:val="0"/>
          <w:iCs w:val="0"/>
          <w:caps w:val="0"/>
          <w:color w:val="000000"/>
          <w:spacing w:val="0"/>
          <w:sz w:val="24"/>
          <w:szCs w:val="24"/>
          <w:shd w:val="clear" w:fill="F0F2F5"/>
        </w:rPr>
        <w:t> The amount of a food additive, including nonnutritive sweetener, that can be safely consumed on a daily basis over a person’s lifetime without any adverse effect. It includes a 100-fold safety factor.</w:t>
      </w:r>
    </w:p>
    <w:p w14:paraId="6A5ABCE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Accessory food factors.</w:t>
      </w:r>
      <w:r>
        <w:rPr>
          <w:rFonts w:hint="default" w:ascii="Times New Roman" w:hAnsi="Times New Roman" w:eastAsia="Segoe UI Historic" w:cs="Times New Roman"/>
          <w:i w:val="0"/>
          <w:iCs w:val="0"/>
          <w:caps w:val="0"/>
          <w:color w:val="000000"/>
          <w:spacing w:val="0"/>
          <w:sz w:val="24"/>
          <w:szCs w:val="24"/>
          <w:shd w:val="clear" w:fill="F0F2F5"/>
        </w:rPr>
        <w:t> Earliest name given to vitamins by Hopkins, who demonstrated in 1906 that foods contain, in addition to the nutrients then recognized (i.e., carbohydrates, proteins, fats, minerals, and water), minute traces of unknown substances essential to health and life.</w:t>
      </w:r>
    </w:p>
    <w:p w14:paraId="140DF4F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Accommodation.</w:t>
      </w:r>
      <w:r>
        <w:rPr>
          <w:rFonts w:hint="default" w:ascii="Times New Roman" w:hAnsi="Times New Roman" w:eastAsia="Segoe UI Historic" w:cs="Times New Roman"/>
          <w:i w:val="0"/>
          <w:iCs w:val="0"/>
          <w:caps w:val="0"/>
          <w:color w:val="000000"/>
          <w:spacing w:val="0"/>
          <w:sz w:val="24"/>
          <w:szCs w:val="24"/>
          <w:shd w:val="clear" w:fill="F0F2F5"/>
        </w:rPr>
        <w:t> An adaptive response that allows survival, but at the expense of some more or less serious consequences on health and/or physiological function.</w:t>
      </w:r>
    </w:p>
    <w:p w14:paraId="04ADB32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Acesulfame-K.</w:t>
      </w:r>
      <w:r>
        <w:rPr>
          <w:rFonts w:hint="default" w:ascii="Times New Roman" w:hAnsi="Times New Roman" w:eastAsia="Segoe UI Historic" w:cs="Times New Roman"/>
          <w:i w:val="0"/>
          <w:iCs w:val="0"/>
          <w:caps w:val="0"/>
          <w:color w:val="000000"/>
          <w:spacing w:val="0"/>
          <w:sz w:val="24"/>
          <w:szCs w:val="24"/>
          <w:shd w:val="clear" w:fill="F0F2F5"/>
        </w:rPr>
        <w:t> Or acesulfame potassium; a nonnutritive sweetener approximately 200 times sweeter than sucrose. It is non-caloric; produces limited glycemic response; stable when exposed to heat; and noncariogenic. To be used with caution for persons who need to limit potassium intake. Approved by FDA with an acceptable daily intake (ADI) of 15 mg/kg of body weight. During the past 15 years of testing and use, there has been no reported health problem except some slight aftertaste, which is solved by blending with other sweeteners. Sold under the brand name Sunette®, Sweet One®, and Swiss Sweet®.</w:t>
      </w:r>
    </w:p>
    <w:p w14:paraId="71AA5C4C">
      <w:pPr>
        <w:jc w:val="both"/>
        <w:rPr>
          <w:rFonts w:hint="default" w:ascii="Times New Roman" w:hAnsi="Times New Roman" w:eastAsia="Segoe UI Historic" w:cs="Times New Roman"/>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AFE06"/>
    <w:multiLevelType w:val="multilevel"/>
    <w:tmpl w:val="BD7AFE0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2DD67426"/>
    <w:multiLevelType w:val="multilevel"/>
    <w:tmpl w:val="2DD6742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872A3"/>
    <w:rsid w:val="241872A3"/>
    <w:rsid w:val="5C43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1508</Words>
  <Characters>8677</Characters>
  <Lines>0</Lines>
  <Paragraphs>0</Paragraphs>
  <TotalTime>4</TotalTime>
  <ScaleCrop>false</ScaleCrop>
  <LinksUpToDate>false</LinksUpToDate>
  <CharactersWithSpaces>10149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2026-05-07T12:40:00Z</dcterms:created>
  <dc:creator>Rachelle Palting</dc:creator>
  <cp:lastModifiedBy>Rachelle Palting</cp:lastModifiedBy>
  <dcterms:modified xsi:type="dcterms:W3CDTF">2026-05-08T04:15:22Z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E8DB732523F24C2787FF6A8E63D6EEBE_11</vt:lpwstr>
  </property>
  <property fmtid="{D5CDD505-2E9C-101B-9397-08002B2CF9AE}" pid="4" name="KSOTemplateDocerSaveRecord">
    <vt:lpwstr>eyJoZGlkIjoiNTA5NTEwNTRiNmRlMzViNjU2ZmI3NDQyZTllYWRhNTAiLCJ1c2VySWQiOiI4ODEzNDQ4NzM0MzQ4In0=</vt:lpwstr>
  </property>
</Properties>
</file>