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282C2">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8"/>
          <w:szCs w:val="28"/>
          <w:shd w:val="clear" w:fill="F0F2F5"/>
        </w:rPr>
      </w:pPr>
      <w:r>
        <w:rPr>
          <w:rStyle w:val="6"/>
          <w:rFonts w:hint="default" w:ascii="Times New Roman" w:hAnsi="Times New Roman" w:eastAsia="Segoe UI Historic" w:cs="Times New Roman"/>
          <w:b/>
          <w:bCs/>
          <w:i w:val="0"/>
          <w:iCs w:val="0"/>
          <w:caps w:val="0"/>
          <w:color w:val="000000"/>
          <w:spacing w:val="0"/>
          <w:sz w:val="28"/>
          <w:szCs w:val="28"/>
          <w:shd w:val="clear" w:fill="F0F2F5"/>
        </w:rPr>
        <w:t>Preface</w:t>
      </w:r>
    </w:p>
    <w:p w14:paraId="24C54A7E">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789C2C41">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present title “Forensic Science” has been written for undergraduate, post-graduate students and those engaged in pharmaceutical, pathological, and clinical research. Actually the explosion of new technologies with their vast potential has brought with it the need for forensic scientists to equip themselves and their laboratories with a whole array of new expertise. With the high discriminating power of the DNA systems has come high potential in evidentiary terms, high profile status for many investigations, and not least, a high degree of professional scrutiny of evidence produced by such technology.</w:t>
      </w:r>
    </w:p>
    <w:p w14:paraId="4E32D6A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05AC169">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present book provides protocols for the major methods of DNA analysis that have been introduced for identity testing in forensic laboratories. It also deals with the developments intersecting with the neighbouring fields of law enforcement and the justice system. This book will prove a useful guide for public awareness, health authorities, professional and industrial organizations. The aim of writing this book has been to show how it is possible to enjoy the benefits of technology in detecting the criminals. The language used in it is simple and lucid, and illustrations are clear and labelled.</w:t>
      </w:r>
    </w:p>
    <w:p w14:paraId="49AD976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1379EA0">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make the work more comprehensive and informative, the author has consulted many authoritative books, research journals, abstracts, monographs etc., so there can be no claim to originality except in the manner of treatment.</w:t>
      </w:r>
    </w:p>
    <w:p w14:paraId="552F3392">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8A39029">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author expresses his thanks to his friends and colleagues whose continue inspirations have initiated him to bring out this book.</w:t>
      </w:r>
    </w:p>
    <w:p w14:paraId="746474B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AFF2DAA">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D88AAB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496AF2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3A8503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683E9B">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F072E9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AEA134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74E83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B8E12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7EFA99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06A2D3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975529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C466B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5EDECD">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C548A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1F7AC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13E7D6">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EE8C03">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FB6F30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806ADB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6C6600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635D78">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1E9F0E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E75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default" w:ascii="Times New Roman" w:hAnsi="Times New Roman" w:cs="Times New Roman"/>
          <w:b/>
          <w:bCs/>
          <w:i w:val="0"/>
          <w:iCs w:val="0"/>
          <w:caps w:val="0"/>
          <w:color w:val="000000"/>
          <w:spacing w:val="0"/>
          <w:sz w:val="28"/>
          <w:szCs w:val="28"/>
          <w:shd w:val="clear" w:fill="F0F2F5"/>
        </w:rPr>
      </w:pPr>
      <w:r>
        <w:rPr>
          <w:rStyle w:val="6"/>
          <w:rFonts w:hint="default" w:ascii="Times New Roman" w:hAnsi="Times New Roman" w:cs="Times New Roman"/>
          <w:b/>
          <w:bCs/>
          <w:i w:val="0"/>
          <w:iCs w:val="0"/>
          <w:caps w:val="0"/>
          <w:color w:val="000000"/>
          <w:spacing w:val="0"/>
          <w:sz w:val="28"/>
          <w:szCs w:val="28"/>
          <w:shd w:val="clear" w:fill="F0F2F5"/>
        </w:rPr>
        <w:t>CONTENTS</w:t>
      </w:r>
    </w:p>
    <w:p w14:paraId="03974089">
      <w:pPr>
        <w:rPr>
          <w:rFonts w:hint="default"/>
        </w:rPr>
      </w:pPr>
    </w:p>
    <w:p w14:paraId="3F9607E3">
      <w:pPr>
        <w:pStyle w:val="5"/>
        <w:keepNext w:val="0"/>
        <w:keepLines w:val="0"/>
        <w:widowControl/>
        <w:numPr>
          <w:ilvl w:val="0"/>
          <w:numId w:val="1"/>
        </w:numPr>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Trends in Molecular Biology 1–42</w:t>
      </w:r>
    </w:p>
    <w:p w14:paraId="1BBDEABE">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Developments Within the Field of Forensic Molecular Biology, Developments Influencing Law Enforcement–Operational Impacts, Developments Influencing the Justice System: Socio-legal Impacts, Electrophoresis in Forensic Science, Analytical Considerations, Method Preparation, Sample Preparation, Sample Injection, On-Line Sample Concentration, Capillary Surface Technology, CE-MS Compatible Buffers, CE-MS Interfaces for Peptide and Protein Analysis, CE-MS and Tendem MS: Biological Samples, Biologically Active Peptides, Biologically Active Proteins, On-Line Preconcentration-CE-MS of Peptides and Proteins, Operations in Capillary Electrophoresis, Cost, Speed, Potential for Automation, Accuracy, Sensitivity, and Precision, Modes of CE, Applications of Capillary Electrophoresis in Clinical Settings, Serum and Urinary Proteins, Lipoproteins, Analysis of Organ Function Tests, Serum and Urine Steroid Levels, Vitamins and Minerals, Serum Bilirubin, Cytokines, Hemoglobin and its Variants, Porphyrins, Inorganic Ions, Inborn Errors of Metabolism, Serum and Urine Analysis of Drugs, Urine Myoglobin, Cerebrospinal Fluid (CSF), Analysis of PCR Products.</w:t>
      </w:r>
    </w:p>
    <w:p w14:paraId="1E8F58E0">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507CBE5D">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DNA Structure and Genome 43–49</w:t>
      </w:r>
    </w:p>
    <w:p w14:paraId="13DED449">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DNA Structure, Organization of DNA into Chromosomes, Structure of the Human Genome, Coding and Regulatory Sequence, Extragenic DNA, Genetic Diversity of Modern Humans, Genome and Forensic Genetics, Tandem Repeats, Variable Number Tandem Repeats – VNTRs, Short Tandem Repeats – STRs, Single Nucleotide Polymorphisms (SNPs).</w:t>
      </w:r>
    </w:p>
    <w:p w14:paraId="3E5CA7D3">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284298AC">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Age Detection 50–58</w:t>
      </w:r>
    </w:p>
    <w:p w14:paraId="220F6B12">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Fetal Body Measurements, Bone Formation and Growth, Growth: Infancy through Adolescence, Ossification Center Appearance and Epiphyseal Union, Bone Remodeling, Radiographic Approaches, Arthritic Changes, Chemical Changes.</w:t>
      </w:r>
    </w:p>
    <w:p w14:paraId="1A1820BF">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2C0831FB">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Extraction Techniques for Forensic Analysis 59–84</w:t>
      </w:r>
    </w:p>
    <w:p w14:paraId="3F2BE6CF">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Principal Steps of DNA Extraction, Cell Lysis, DNA Extraction: Purification and Efficient Removal of PCR Inhibitors, DNA Extraction Techniques, Standard Phenol-Chloroform Extraction, Chelex 100 Extraction, Magnetic Affinity Solid-phase Extraction, Modified Techniques for DNA Extraction from Challenging Forensic Samples, Sperm Extraction – Differential Extraction, Extraction of DNA from Bone, Automation of DNA Extraction, BioMek 2000/DNA IQ System, Qiagen BioRobot EZ1, Quiagen BioRobot M48, Recovery of High-Molecular-Weight DNA from Blood and Forensic Specimens, Automated DNA Extraction Techniques for Forensic Analysis, Quantification of DNA by Slot-Blot Analysis.</w:t>
      </w:r>
    </w:p>
    <w:p w14:paraId="1DEF3B67">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70F96652">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0A80485C">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256D6920">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598CED31">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62861DE6">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Polymerase Chain Reaction 85–105</w:t>
      </w:r>
    </w:p>
    <w:p w14:paraId="4E4F3EAA">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Evolution of PCR-based Profiling in Forensic Genetics, DNA Replication – Basis of the PCR, Components of PCR, PCR Process, PCR Inhibition, Sensitivity and Contamination, PCR Laboratory, Rapid Assessment of PCR Product Quality and Quantity by Capillary Electrophoresis, Materials, Methods, Kinship Testing, Paternity Testing.</w:t>
      </w:r>
    </w:p>
    <w:p w14:paraId="03024CCB">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512FCD50">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Role of ‘X’ and ‘Y’ Chromosomes 106–136</w:t>
      </w:r>
    </w:p>
    <w:p w14:paraId="293D8012">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X Chromosome in Forensic Science, History of Forensic Utilization of the X Chromosome, Chromosome X Short Tandem Repeats, Power of ChrX Markers in Trace Analysis, Power of ChrX Markers in Kinship Testing, Chromosome X Marker Mapping and Haplotype Analysis, Chromosome X-chromosome Y Homologue Markers, Chromosome X STR Allele and Haplotype Distribution in Different Populations, Ethical Considerations in ChrX Marker Testing, Y-Chromosomal Markers in Forensic Genetics, Identification of the Male Sex, Identification of Male Lineages, Identification of a Male’s Paternity, Identification of a Male’s Geographical Origin, Future of Y-Chromosomal Markers in Forensics.</w:t>
      </w:r>
    </w:p>
    <w:p w14:paraId="2618988D">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79408949">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Single Nucleotide Polymorphism 137–143</w:t>
      </w:r>
    </w:p>
    <w:p w14:paraId="0B5490EB">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SNPs – Occurrence and Structure, Detection of SNPs, Sanger Sequencing, SNP Detection for Forensic Applications, Primer Extension, Allele Specific Hybridization, Forensic Applications of SNPs, Forensic Identification, Prediction of the Geographical Ancestry, SNPs Compared to SIR Loci.</w:t>
      </w:r>
    </w:p>
    <w:p w14:paraId="3E1F107F">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64603D22">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Biological Acids and Steroid Analysis 144–182</w:t>
      </w:r>
    </w:p>
    <w:p w14:paraId="3148BADF">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Amino Acid Analysis, Detection, Derivatization, Methods of Separation, Microchip Technology, Clinical and Biomedical Applications, Organic Acid Analysis, Flow Reversal, Detection Methods, Specimen Preparation, Application for the Clinical Laboratory, Steroid Analysis, Adrenal Glands, Physiological Effects of Glucocorticoids, Congenital Adrenal Hyperplasia, Use of Capillary Electrophoresis (CE) in the Separation and Detection of Steroids.</w:t>
      </w:r>
    </w:p>
    <w:p w14:paraId="6CE42FC6">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1A4BAC3F">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Data Presentation in Forensic Science 183–191</w:t>
      </w:r>
    </w:p>
    <w:p w14:paraId="7085498B">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Techniques, Differential Lysis, Autosomes (Nuclear DNA), Y Chromosome, Mitochondrial DNA (mtDNA), Messenger Ribonucleic Acid (RNA), Laboratory Issues, Statistical Analysis, Other Issues, ‘Ceiling’ Principle, Prosecutor’s Fallacy and Defence Fallacy, Bayes’ Theorem, Likelihood Ratio, Special Situations, DNA Mixtures, Complex Settings.</w:t>
      </w:r>
    </w:p>
    <w:p w14:paraId="47032C68">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494D31B4">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Single and Multilocus VNTR Analysis 192–208</w:t>
      </w:r>
    </w:p>
    <w:p w14:paraId="6DDC8817">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Single Locus VNTR Analysis, Materials, Method, Multilocus VNTR Analysis, Precautions, Labeling Nucleic Acids for Use as Probes, Theory of Nick-Translation, Theory of Radioactive Labeling of Oligonucleotide Probes by Means of T4 DNA Polymerase, Theory of Labeling DNA by Random Priming (Oligopriming), Theory of Filter Hybridization, Materials, Reagents Required for the “Standard” Nick-Translation, Reagents Required for Modified Nick-Translation, Reagents Required for Labeling with T4 DNA Polymerase, Required Reagents for Oligopriming, Reagents Required for the Prehybridization and Hybridization of Filters, Methods, “Standard” Nick-Translation, “Modified” Nick-Translation, Labeling with T4 DNA Polymerase, Oligopriming, Separation by Means of Column Chromatography, Control of Incorporation, Hybridization Procedures Using 32P-Labeled Single-Locus Probes, Autoradiography Procedure, Reprobing of Filters.</w:t>
      </w:r>
    </w:p>
    <w:p w14:paraId="0A6E6EA6">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16861977">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Analysis, Assessment and Interpretation of STR 209–227</w:t>
      </w:r>
    </w:p>
    <w:p w14:paraId="4CBB324E">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lang w:val="en-PH"/>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Analysis of STR, Structure of STR loci, Development of STR Multiplexes, Detection of STR Polymorphisms, Interpretation of STR Profiles, Assessment of STR Profiles, Stutter Peaks, Split Peaks (+/- A), Pull-up, Template DNA, Overloaded Profiles, Low Copy Number DNA, Peak Balance, Mixtures, Degraded DNA, Statistical Interpretation of STR Profiles, Population Genetics, Deviation from the Hardy–Weinberg Equilibrium, Statistical Tests to Determine Deviation from the Hardy–Weinberg Equilibrium, Estimating the Frequencies of SIR Profiles, Corrections to Allele Frequency Databases</w:t>
      </w:r>
      <w:r>
        <w:rPr>
          <w:rFonts w:hint="default" w:ascii="Times New Roman" w:hAnsi="Times New Roman" w:eastAsia="Segoe UI Historic" w:cs="Times New Roman"/>
          <w:i w:val="0"/>
          <w:iCs w:val="0"/>
          <w:caps w:val="0"/>
          <w:color w:val="000000"/>
          <w:spacing w:val="0"/>
          <w:sz w:val="24"/>
          <w:szCs w:val="24"/>
          <w:shd w:val="clear" w:fill="F0F2F5"/>
          <w:lang w:val="en-PH"/>
        </w:rPr>
        <w:t>.</w:t>
      </w:r>
    </w:p>
    <w:p w14:paraId="7C5DE329">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4D1FE266">
      <w:pPr>
        <w:pStyle w:val="5"/>
        <w:keepNext w:val="0"/>
        <w:keepLines w:val="0"/>
        <w:widowControl/>
        <w:numPr>
          <w:ilvl w:val="0"/>
          <w:numId w:val="1"/>
        </w:numPr>
        <w:suppressLineNumbers w:val="0"/>
        <w:shd w:val="clear" w:fill="F0F2F5"/>
        <w:spacing w:before="0" w:beforeAutospacing="0" w:after="0" w:afterAutospacing="0"/>
        <w:ind w:left="0" w:leftChars="0" w:right="0" w:firstLine="0" w:firstLineChars="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Screening Significance 228–260</w:t>
      </w:r>
    </w:p>
    <w:p w14:paraId="514BDC4E">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Capillary Electrophoresis (CE) System, Sample Preparation, Sample Quality, Identity of Peaks, Use of the AmpliType PM + HLA DQA1 PCR Amplification and Typing Kits for Identity Testing. Materials, Method, Mitochondrial Analysis, Mitochondrial DNA (mtDNA) Biology, Identification of Individuals (mtDNA Typing), Topics of Forensic Interest.</w:t>
      </w:r>
    </w:p>
    <w:p w14:paraId="43B05835">
      <w:pPr>
        <w:pStyle w:val="5"/>
        <w:keepNext w:val="0"/>
        <w:keepLines w:val="0"/>
        <w:widowControl/>
        <w:numPr>
          <w:numId w:val="0"/>
        </w:numPr>
        <w:suppressLineNumbers w:val="0"/>
        <w:shd w:val="clear" w:fill="F0F2F5"/>
        <w:spacing w:before="0" w:beforeAutospacing="0" w:after="0" w:afterAutospacing="0"/>
        <w:ind w:leftChars="0" w:right="0" w:rightChars="0"/>
        <w:jc w:val="both"/>
        <w:rPr>
          <w:rFonts w:hint="default" w:ascii="Times New Roman" w:hAnsi="Times New Roman" w:eastAsia="Segoe UI Historic" w:cs="Times New Roman"/>
          <w:i w:val="0"/>
          <w:iCs w:val="0"/>
          <w:caps w:val="0"/>
          <w:color w:val="000000"/>
          <w:spacing w:val="0"/>
          <w:sz w:val="24"/>
          <w:szCs w:val="24"/>
          <w:shd w:val="clear" w:fill="F0F2F5"/>
        </w:rPr>
      </w:pPr>
    </w:p>
    <w:p w14:paraId="5C52FF8A">
      <w:pPr>
        <w:jc w:val="both"/>
        <w:rPr>
          <w:rFonts w:hint="default" w:ascii="Times New Roman" w:hAnsi="Times New Roman" w:eastAsia="Segoe UI Historic" w:cs="Times New Roman"/>
          <w:i w:val="0"/>
          <w:iCs w:val="0"/>
          <w:caps w:val="0"/>
          <w:color w:val="000000"/>
          <w:spacing w:val="0"/>
          <w:sz w:val="24"/>
          <w:szCs w:val="24"/>
          <w:shd w:val="clear" w:fill="F0F2F5"/>
        </w:rPr>
      </w:pPr>
    </w:p>
    <w:p w14:paraId="57471A23">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TRENDS IN MOLECULAR BIOLOGY</w:t>
      </w:r>
    </w:p>
    <w:p w14:paraId="15DFD6B1">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EA55795">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Forensic science is part of a process beginning at a crime scene and concluding in a court room. This means that as one of the key forensic disciplines, the field of forensic molecular biology resides within the complex and adversarial context of the criminal justice system (CJS).</w:t>
      </w:r>
    </w:p>
    <w:p w14:paraId="348B7E60">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832AF99">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key areas of the CJS that are relevant to the use of forensic molecular biology are the domains of law enforcement and the justice system. Due to the intersection of these three domains, changes and developments in one can have a resultant impact on the other adjacent areas. Therefore, when considering the current and future trends in forensic molecular biology it is important to do so not only from the perspective of their effect within the forensic field itself, but also from the perspective of their interaction with neighbouring areas of the system. After all, it is in these neighbouring areas that forensic outcomes are eventually put to use.</w:t>
      </w:r>
    </w:p>
    <w:p w14:paraId="45F295C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78CC3E6">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Forensic molecular biology has developed rapidly into a comprehensive discipline in its own right and, perhaps more so than any scientific advance before it, has had a profound impact across the CJS. Within the forensic science discipline, as expected, development has been science and/or technology driven. It has followed a trend towards achieving greater sophistication, throughput and informativeness for the DNA-based outcomes of scientific analysis. Developments in forensic molecular biology that have influenced law enforcement could be thought of as operational developments as they predominantly apply to the manner or degree that forensic molecular biology is utilized.</w:t>
      </w:r>
    </w:p>
    <w:p w14:paraId="2CCA008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026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4"/>
          <w:szCs w:val="24"/>
        </w:rPr>
      </w:pPr>
      <w:r>
        <w:rPr>
          <w:rStyle w:val="6"/>
          <w:rFonts w:hint="default" w:ascii="Times New Roman" w:hAnsi="Times New Roman" w:cs="Times New Roman"/>
          <w:b/>
          <w:bCs/>
          <w:i w:val="0"/>
          <w:iCs w:val="0"/>
          <w:caps w:val="0"/>
          <w:color w:val="000000"/>
          <w:spacing w:val="0"/>
          <w:sz w:val="24"/>
          <w:szCs w:val="24"/>
          <w:shd w:val="clear" w:fill="F0F2F5"/>
        </w:rPr>
        <w:t>Developments Within the Field of Forensic Molecular Biology</w:t>
      </w:r>
    </w:p>
    <w:p w14:paraId="55566C7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PH"/>
        </w:rPr>
        <w:tab/>
      </w:r>
      <w:r>
        <w:rPr>
          <w:rFonts w:hint="default" w:ascii="Times New Roman" w:hAnsi="Times New Roman" w:eastAsia="Segoe UI Historic" w:cs="Times New Roman"/>
          <w:i w:val="0"/>
          <w:iCs w:val="0"/>
          <w:caps w:val="0"/>
          <w:color w:val="000000"/>
          <w:spacing w:val="0"/>
          <w:sz w:val="24"/>
          <w:szCs w:val="24"/>
          <w:shd w:val="clear" w:fill="F0F2F5"/>
        </w:rPr>
        <w:t>As such, they typically have both a technical and policy-oriented basis. Progress in forensic biology has also influenced the justice sector. This is characterized, for example, by the iterative response of both the legislature and the courts to changes in the volume and nature of forensic DNA tests. Throughout the history of the field there has also been associated debate and controversy accompanying these legal developments. This reflects the array of socio-legal and ethical issues associated with more widespread use of forensic molecular biology.</w:t>
      </w:r>
    </w:p>
    <w:p w14:paraId="7E42998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36FBF52">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chapter chiefly describes the process of development within the forensic molecular biology field. It also touches briefly on the way such developments intersect with the neighbouring fields of law enforcement and the justice system. By considering developmental trends in this way the overall impact of changes in forensic molecular biology can be appropriately placed in context, allowing reflection on their effect to date and foreshadowing their potential effect in the future.</w:t>
      </w:r>
    </w:p>
    <w:p w14:paraId="6EBFC5C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C8AEF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6324CE0">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r>
        <w:rPr>
          <w:rStyle w:val="6"/>
          <w:rFonts w:hint="default" w:ascii="Times New Roman" w:hAnsi="Times New Roman" w:eastAsia="Segoe UI Historic" w:cs="Times New Roman"/>
          <w:b/>
          <w:bCs/>
          <w:i w:val="0"/>
          <w:iCs w:val="0"/>
          <w:caps w:val="0"/>
          <w:color w:val="000000"/>
          <w:spacing w:val="0"/>
          <w:sz w:val="24"/>
          <w:szCs w:val="24"/>
          <w:shd w:val="clear" w:fill="F0F2F5"/>
        </w:rPr>
        <w:t>DEVELOPMENTS WITHIN THE FIELD OF FORENSIC MOLECULAR BIOLOGY</w:t>
      </w:r>
    </w:p>
    <w:p w14:paraId="6950FE44">
      <w:pPr>
        <w:pStyle w:val="5"/>
        <w:keepNext w:val="0"/>
        <w:keepLines w:val="0"/>
        <w:widowControl/>
        <w:suppressLineNumbers w:val="0"/>
        <w:shd w:val="clear" w:fill="F0F2F5"/>
        <w:spacing w:before="0" w:beforeAutospacing="0" w:after="0" w:afterAutospacing="0"/>
        <w:ind w:left="0" w:right="0" w:firstLine="0"/>
        <w:jc w:val="both"/>
        <w:rPr>
          <w:rStyle w:val="6"/>
          <w:rFonts w:hint="default" w:ascii="Times New Roman" w:hAnsi="Times New Roman" w:eastAsia="Segoe UI Historic" w:cs="Times New Roman"/>
          <w:b/>
          <w:bCs/>
          <w:i w:val="0"/>
          <w:iCs w:val="0"/>
          <w:caps w:val="0"/>
          <w:color w:val="000000"/>
          <w:spacing w:val="0"/>
          <w:sz w:val="24"/>
          <w:szCs w:val="24"/>
          <w:shd w:val="clear" w:fill="F0F2F5"/>
        </w:rPr>
      </w:pPr>
    </w:p>
    <w:p w14:paraId="52AA1242">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From the time the field settled on a uniform technological platform, forensic molecular biologists have done a masterful job at extending the applicability of this testing regime as far as conceivably possible. The discriminating power of short tandem repeat (STR)-based tests has been increased by combining up to 16 STR loci into a single polymerase chain reaction (PCR). The sensitivity of the routine tests has also been driven downward so that successful analysis is now achieved from as little as 100 pg of starting template.</w:t>
      </w:r>
    </w:p>
    <w:p w14:paraId="58929F6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9B5FAE3">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bookmarkStart w:id="0" w:name="_GoBack"/>
      <w:bookmarkEnd w:id="0"/>
      <w:r>
        <w:rPr>
          <w:rFonts w:hint="default" w:ascii="Times New Roman" w:hAnsi="Times New Roman" w:eastAsia="Segoe UI Historic" w:cs="Times New Roman"/>
          <w:i w:val="0"/>
          <w:iCs w:val="0"/>
          <w:caps w:val="0"/>
          <w:color w:val="000000"/>
          <w:spacing w:val="0"/>
          <w:sz w:val="24"/>
          <w:szCs w:val="24"/>
          <w:shd w:val="clear" w:fill="F0F2F5"/>
        </w:rPr>
        <w:t>Advancing the capabilities of the DNA methodology has also expanded the range of criminal cases and sample types able to be successfully analysed. For many years forensic molecular biology was limited to testing templates such as blood, semen, hair and saliva. However, the increased efficiency of the STR-based methods now means that DNA can be successfully analysed from discarded clothing or dandruff, drinking containers, food and fingernail clippings and scrapings. Recent approaches such as reduced-amplicon STR analysis and low copy number (LCN) profiling have enhanced reaction sensitivity even further and improved the ability to analyse the most troublesome and highly degraded samples.</w:t>
      </w:r>
    </w:p>
    <w:p w14:paraId="17B744A8">
      <w:pPr>
        <w:jc w:val="both"/>
        <w:rPr>
          <w:rFonts w:hint="default" w:ascii="Times New Roman" w:hAnsi="Times New Roman" w:eastAsia="Segoe UI Historic" w:cs="Times New Roman"/>
          <w:i w:val="0"/>
          <w:iCs w:val="0"/>
          <w:caps w:val="0"/>
          <w:color w:val="000000"/>
          <w:spacing w:val="0"/>
          <w:sz w:val="24"/>
          <w:szCs w:val="24"/>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20EFF"/>
    <w:multiLevelType w:val="singleLevel"/>
    <w:tmpl w:val="A6820EF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20DFD"/>
    <w:rsid w:val="143E4177"/>
    <w:rsid w:val="7D52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uiPriority w:val="0"/>
    <w:rPr>
      <w:sz w:val="24"/>
      <w:szCs w:val="24"/>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1751</Words>
  <Characters>10926</Characters>
  <Lines>0</Lines>
  <Paragraphs>0</Paragraphs>
  <TotalTime>5</TotalTime>
  <ScaleCrop>false</ScaleCrop>
  <LinksUpToDate>false</LinksUpToDate>
  <CharactersWithSpaces>12634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2026-05-07T12:42:00Z</dcterms:created>
  <dc:creator>Rachelle Palting</dc:creator>
  <cp:lastModifiedBy>Rachelle Palting</cp:lastModifiedBy>
  <dcterms:modified xsi:type="dcterms:W3CDTF">2026-05-08T03:33:50Z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3727B6ABE7F745CB8D351C2DBDE05B00_11</vt:lpwstr>
  </property>
  <property fmtid="{D5CDD505-2E9C-101B-9397-08002B2CF9AE}" pid="4" name="KSOTemplateDocerSaveRecord">
    <vt:lpwstr>eyJoZGlkIjoiNTA5NTEwNTRiNmRlMzViNjU2ZmI3NDQyZTllYWRhNTAiLCJ1c2VySWQiOiI4ODEzNDQ4NzM0MzQ4In0=</vt:lpwstr>
  </property>
</Properties>
</file>